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3B0D9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w:bookmarkStart w:id="0" w:name="_Hlk150420255"/>
      <w:r w:rsidRPr="00BB355F">
        <w:rPr>
          <w:rFonts w:ascii="Times New Roman" w:hAnsi="Times New Roman" w:cs="Times New Roman"/>
          <w:color w:val="FF0000"/>
          <w:sz w:val="48"/>
          <w:szCs w:val="48"/>
          <w:highlight w:val="green"/>
          <w:lang w:val="kk-KZ"/>
        </w:rPr>
        <w:t>10 Дәріс</w:t>
      </w:r>
      <w:r w:rsidRPr="00BB355F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- </w:t>
      </w:r>
      <w:bookmarkStart w:id="1" w:name="_Hlk146128870"/>
      <w:r w:rsidRPr="00BB355F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Қызметкерлерді оқыту  </w:t>
      </w:r>
      <w:bookmarkEnd w:id="1"/>
      <w:r w:rsidRPr="00BB355F">
        <w:rPr>
          <w:rFonts w:ascii="Times New Roman" w:hAnsi="Times New Roman" w:cs="Times New Roman"/>
          <w:color w:val="FF0000"/>
          <w:sz w:val="48"/>
          <w:szCs w:val="48"/>
          <w:lang w:val="kk-KZ"/>
        </w:rPr>
        <w:t>және дамыту жүйесі</w:t>
      </w:r>
    </w:p>
    <w:p w14:paraId="52E430D9" w14:textId="77777777" w:rsidR="00676A07" w:rsidRPr="00BB355F" w:rsidRDefault="00676A07" w:rsidP="00676A07">
      <w:pPr>
        <w:rPr>
          <w:color w:val="0070C0"/>
          <w:sz w:val="48"/>
          <w:szCs w:val="48"/>
          <w:lang w:val="kk-KZ"/>
        </w:rPr>
      </w:pPr>
      <w:r w:rsidRPr="00BB355F">
        <w:rPr>
          <w:color w:val="0070C0"/>
          <w:sz w:val="48"/>
          <w:szCs w:val="48"/>
          <w:lang w:val="kk-KZ"/>
        </w:rPr>
        <w:t>Сұрақтар:</w:t>
      </w:r>
    </w:p>
    <w:p w14:paraId="1732E1A1" w14:textId="77777777" w:rsidR="00676A07" w:rsidRPr="00BB355F" w:rsidRDefault="00676A07" w:rsidP="00676A07">
      <w:pPr>
        <w:pStyle w:val="a7"/>
        <w:numPr>
          <w:ilvl w:val="0"/>
          <w:numId w:val="3"/>
        </w:numPr>
        <w:spacing w:after="200" w:line="276" w:lineRule="auto"/>
        <w:rPr>
          <w:sz w:val="48"/>
          <w:szCs w:val="48"/>
          <w:lang w:val="kk-KZ"/>
        </w:rPr>
      </w:pPr>
      <w:r w:rsidRPr="00BB355F">
        <w:rPr>
          <w:rFonts w:ascii="Times New Roman" w:hAnsi="Times New Roman" w:cs="Times New Roman"/>
          <w:color w:val="FF0000"/>
          <w:sz w:val="48"/>
          <w:szCs w:val="48"/>
          <w:lang w:val="kk-KZ"/>
        </w:rPr>
        <w:t xml:space="preserve">Қызметкерлерді оқыту  </w:t>
      </w:r>
    </w:p>
    <w:p w14:paraId="1606AD71" w14:textId="77777777" w:rsidR="00676A07" w:rsidRPr="00BB355F" w:rsidRDefault="00676A07" w:rsidP="00676A07">
      <w:pPr>
        <w:pStyle w:val="a7"/>
        <w:numPr>
          <w:ilvl w:val="0"/>
          <w:numId w:val="3"/>
        </w:numPr>
        <w:spacing w:after="200" w:line="276" w:lineRule="auto"/>
        <w:rPr>
          <w:sz w:val="48"/>
          <w:szCs w:val="48"/>
          <w:lang w:val="kk-KZ"/>
        </w:rPr>
      </w:pPr>
      <w:r w:rsidRPr="00BB355F">
        <w:rPr>
          <w:rFonts w:ascii="Times New Roman" w:hAnsi="Times New Roman" w:cs="Times New Roman"/>
          <w:color w:val="FF0000"/>
          <w:sz w:val="48"/>
          <w:szCs w:val="48"/>
          <w:lang w:val="kk-KZ"/>
        </w:rPr>
        <w:t>Персоналдың білімін жетілдіру және дамыту</w:t>
      </w:r>
    </w:p>
    <w:p w14:paraId="19387443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B355F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 мақсаты</w:t>
      </w:r>
      <w:r w:rsidRPr="00BB355F">
        <w:rPr>
          <w:rFonts w:ascii="Times New Roman" w:hAnsi="Times New Roman" w:cs="Times New Roman"/>
          <w:color w:val="FF0000"/>
          <w:sz w:val="28"/>
          <w:szCs w:val="28"/>
          <w:lang w:val="kk-KZ"/>
        </w:rPr>
        <w:t>- магистранттарды қызметкерлерді оқыту мен білімін көтеру саласында жан-жақты мәліметтер беру</w:t>
      </w:r>
    </w:p>
    <w:bookmarkEnd w:id="0"/>
    <w:p w14:paraId="25D0E843" w14:textId="77777777" w:rsidR="00676A07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14:paraId="5A6B1579" w14:textId="77777777" w:rsidR="00676A07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14:paraId="5923B991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Қызметкерлерді оқыту</w:t>
      </w:r>
    </w:p>
    <w:p w14:paraId="4A92DE1F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Қызметкерлерді оқыту және дамыту кәсіпорынды стратегиялық дамыту талаптары мен болашағы ескеріле отырып, қызметкерлер біліктілігінің қажетті деңгейін қалыптастыру және қолдау мақсатында жүзеге асырылады.</w:t>
      </w:r>
    </w:p>
    <w:p w14:paraId="7F601B0F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14:paraId="24FAF973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Қызметкерлерді оқытуға жұмсалған қаражат кәсіпорынның адам ресурстарын дамытуға арналған ұзақ мерзімді инвестиция болып табылады.</w:t>
      </w:r>
    </w:p>
    <w:p w14:paraId="4B4072F0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14:paraId="028649F1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Компания қызметкерлерді оқыту және дамыту саласындағы міндеттері: </w:t>
      </w:r>
    </w:p>
    <w:p w14:paraId="74CF537A" w14:textId="77777777" w:rsidR="00676A07" w:rsidRPr="00BB355F" w:rsidRDefault="00676A07" w:rsidP="00676A07">
      <w:pPr>
        <w:pStyle w:val="a7"/>
        <w:numPr>
          <w:ilvl w:val="0"/>
          <w:numId w:val="4"/>
        </w:numPr>
        <w:spacing w:after="200"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оқыту қажеттілігін анықтау, жоспарлау және бюджеттеу, оқуды ұйымдастыру және оның тиімділігін бақылауды қамтитын оқыту жүйесін әзірлеу және енгізу; </w:t>
      </w:r>
    </w:p>
    <w:p w14:paraId="50C2609D" w14:textId="77777777" w:rsidR="00676A07" w:rsidRPr="00BB355F" w:rsidRDefault="00676A07" w:rsidP="00676A07">
      <w:pPr>
        <w:pStyle w:val="a7"/>
        <w:numPr>
          <w:ilvl w:val="0"/>
          <w:numId w:val="4"/>
        </w:numPr>
        <w:spacing w:after="200"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lastRenderedPageBreak/>
        <w:t>компанияның бизнес-үдерістерінің ерекшелігіне сәйкес корпоративтік оқытуды құру;</w:t>
      </w:r>
    </w:p>
    <w:p w14:paraId="4C014A2A" w14:textId="77777777" w:rsidR="00676A07" w:rsidRPr="00BB355F" w:rsidRDefault="00676A07" w:rsidP="00676A07">
      <w:pPr>
        <w:pStyle w:val="a7"/>
        <w:numPr>
          <w:ilvl w:val="0"/>
          <w:numId w:val="4"/>
        </w:numPr>
        <w:spacing w:after="200"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корпоративтік оқыту стандарттарын қалыптастыру;</w:t>
      </w:r>
    </w:p>
    <w:p w14:paraId="68871302" w14:textId="77777777" w:rsidR="00676A07" w:rsidRPr="00BB355F" w:rsidRDefault="00676A07" w:rsidP="00676A07">
      <w:pPr>
        <w:pStyle w:val="a7"/>
        <w:numPr>
          <w:ilvl w:val="0"/>
          <w:numId w:val="4"/>
        </w:numPr>
        <w:spacing w:after="200"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қызметкерлерді оқыту және дамыту барысында үздік әлемдік тәжірибені, білімді, еңбекті ұйымдастырудың тиімді әдістерін  пайдалану; </w:t>
      </w:r>
    </w:p>
    <w:p w14:paraId="20F12731" w14:textId="77777777" w:rsidR="00676A07" w:rsidRPr="00BB355F" w:rsidRDefault="00676A07" w:rsidP="00676A07">
      <w:pPr>
        <w:pStyle w:val="a7"/>
        <w:numPr>
          <w:ilvl w:val="0"/>
          <w:numId w:val="4"/>
        </w:numPr>
        <w:spacing w:after="200"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оқыту барысында қызметкерлерді жалпы дамыту: ішкі үйретушілер, тәлімгерлер институтын қалыптастыру, басқару қорын дамыту, корпоративтік мәдениет деңгейін арттыру;</w:t>
      </w:r>
    </w:p>
    <w:p w14:paraId="5E79591E" w14:textId="77777777" w:rsidR="00676A07" w:rsidRPr="00BB355F" w:rsidRDefault="00676A07" w:rsidP="00676A07">
      <w:pPr>
        <w:pStyle w:val="a7"/>
        <w:numPr>
          <w:ilvl w:val="0"/>
          <w:numId w:val="4"/>
        </w:numPr>
        <w:spacing w:after="200"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қызметкерлерді жұмыстың тиімділігін арттыруға бағыттау.</w:t>
      </w:r>
    </w:p>
    <w:p w14:paraId="705CB753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Компания қызметкерлерін оқыту және дамыту төмендегідей қағидаттарға негізделеді:</w:t>
      </w:r>
    </w:p>
    <w:p w14:paraId="2FF1ECC8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жүйелілік – кәсіби оқыту және кәсіби даму жүйесінің барлық элементтері кәсіпорынның стратегиялық мақсатына бағынуға тиіс;</w:t>
      </w:r>
    </w:p>
    <w:p w14:paraId="6F15716C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қарқындылық  пен икемділік – кәсіпорынның мақсаттарын түзету және міндеттерін өзгерту оқытудың мақсаттары, бағыттары, басымдылықтары, әдістері мен нысандарын өзгертуге тиіс;</w:t>
      </w:r>
    </w:p>
    <w:p w14:paraId="24AD21FD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жүйелілік пен үздіксіздік – оқыту мен дамыту қайта-қайта емес, жүйелі, жоспарлы сипатта болуға тиіс;</w:t>
      </w:r>
    </w:p>
    <w:p w14:paraId="20FDB42A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нәтижелілік – оқыту мен дамыту қол жеткізілген нәтижелерді бағалаудың айқын өлшенген белгілермен жүргізілуге тиіс;</w:t>
      </w:r>
    </w:p>
    <w:p w14:paraId="3FF56D26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t>тәжірибелік бағыттау – оқыту мен дамыту ең біріншіден кәсіби және іскерлік дағдыларды қалыптастыруға бағытталуға тиіс;</w:t>
      </w:r>
    </w:p>
    <w:p w14:paraId="456925FE" w14:textId="77777777" w:rsidR="00676A07" w:rsidRPr="00BB355F" w:rsidRDefault="00676A07" w:rsidP="00676A07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BB355F">
        <w:rPr>
          <w:rFonts w:ascii="Times New Roman" w:hAnsi="Times New Roman" w:cs="Times New Roman"/>
          <w:color w:val="FF0000"/>
          <w:sz w:val="36"/>
          <w:szCs w:val="36"/>
          <w:lang w:val="kk-KZ"/>
        </w:rPr>
        <w:lastRenderedPageBreak/>
        <w:t>бірлескен жауапкершілік – оқыту тиімділігіне оқитын қызметкер, құрылымдық бөлімшенің басшысы, кәсіби даярлау орталығы, қызметкерлерді басқару және әлеуметтік мәселелер департаменті жауап береді.</w:t>
      </w:r>
    </w:p>
    <w:p w14:paraId="69293A6C" w14:textId="77777777" w:rsidR="0018477A" w:rsidRPr="003D60D8" w:rsidRDefault="00B16BD4" w:rsidP="0018477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2" w:name="_Hlk146370480"/>
      <w:r w:rsidR="0018477A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DB340AF" w14:textId="77777777" w:rsidR="0018477A" w:rsidRPr="00C85C78" w:rsidRDefault="0018477A" w:rsidP="0018477A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3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10C578A8" w14:textId="77777777" w:rsidR="0018477A" w:rsidRPr="00C85C78" w:rsidRDefault="0018477A" w:rsidP="0018477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2B27AE9" w14:textId="77777777" w:rsidR="0018477A" w:rsidRPr="00C85C78" w:rsidRDefault="0018477A" w:rsidP="0018477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t>www.adilet.zan.kz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u w:val="single"/>
          <w:lang w:val="kk-KZ" w:eastAsia="kk-KZ"/>
          <w14:ligatures w14:val="none"/>
        </w:rPr>
        <w:fldChar w:fldCharType="end"/>
      </w:r>
    </w:p>
    <w:p w14:paraId="1421E0C3" w14:textId="77777777" w:rsidR="0018477A" w:rsidRPr="00C85C78" w:rsidRDefault="0018477A" w:rsidP="0018477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72B86172" w14:textId="77777777" w:rsidR="0018477A" w:rsidRPr="00C85C78" w:rsidRDefault="0018477A" w:rsidP="0018477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67F43A2" w14:textId="77777777" w:rsidR="0018477A" w:rsidRPr="00C85C78" w:rsidRDefault="0018477A" w:rsidP="0018477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B526302" w14:textId="77777777" w:rsidR="0018477A" w:rsidRPr="00C85C78" w:rsidRDefault="0018477A" w:rsidP="0018477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2AD36AB" w14:textId="77777777" w:rsidR="0018477A" w:rsidRPr="00C85C78" w:rsidRDefault="0018477A" w:rsidP="0018477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3"/>
    <w:p w14:paraId="6A170A2C" w14:textId="77777777" w:rsidR="0018477A" w:rsidRPr="003D60D8" w:rsidRDefault="0018477A" w:rsidP="0018477A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10EE21D7" w14:textId="77777777" w:rsidR="0018477A" w:rsidRPr="003D60D8" w:rsidRDefault="0018477A" w:rsidP="0018477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1A94DF25" w14:textId="77777777" w:rsidR="0018477A" w:rsidRDefault="0018477A" w:rsidP="0018477A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5C413E18" w14:textId="77777777" w:rsidR="0018477A" w:rsidRPr="003D60D8" w:rsidRDefault="0018477A" w:rsidP="0018477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4DF80CA3" w14:textId="77777777" w:rsidR="0018477A" w:rsidRPr="003D60D8" w:rsidRDefault="0018477A" w:rsidP="0018477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4009B4F6" w14:textId="77777777" w:rsidR="0018477A" w:rsidRPr="003D60D8" w:rsidRDefault="0018477A" w:rsidP="0018477A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4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4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4F7022D9" w14:textId="77777777" w:rsidR="0018477A" w:rsidRPr="003D60D8" w:rsidRDefault="0018477A" w:rsidP="0018477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1BF5C4BD" w14:textId="77777777" w:rsidR="0018477A" w:rsidRPr="003D60D8" w:rsidRDefault="0018477A" w:rsidP="0018477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5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5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3E893B56" w14:textId="77777777" w:rsidR="0018477A" w:rsidRPr="003D60D8" w:rsidRDefault="0018477A" w:rsidP="0018477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31B62052" w14:textId="77777777" w:rsidR="0018477A" w:rsidRPr="00162074" w:rsidRDefault="0018477A" w:rsidP="0018477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3302A79B" w14:textId="77777777" w:rsidR="0018477A" w:rsidRPr="00162074" w:rsidRDefault="0018477A" w:rsidP="0018477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07E4B988" w14:textId="77777777" w:rsidR="0018477A" w:rsidRPr="003D60D8" w:rsidRDefault="0018477A" w:rsidP="0018477A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7EE54FCC" w14:textId="6CAE502C" w:rsidR="00B16BD4" w:rsidRDefault="00B16BD4" w:rsidP="0018477A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3E332ED5" w14:textId="77777777" w:rsidR="00B16BD4" w:rsidRPr="0075749D" w:rsidRDefault="00B16BD4" w:rsidP="00B16BD4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C98869B" w14:textId="77777777" w:rsidR="00B16BD4" w:rsidRPr="00C85C78" w:rsidRDefault="00B16BD4" w:rsidP="00B16B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270D15C" w14:textId="77777777" w:rsidR="00B16BD4" w:rsidRPr="00C85C78" w:rsidRDefault="00B16BD4" w:rsidP="00B16B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D1C833A" w14:textId="77777777" w:rsidR="00B16BD4" w:rsidRPr="00C85C78" w:rsidRDefault="00B16BD4" w:rsidP="00B16B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9E30284" w14:textId="77777777" w:rsidR="00B16BD4" w:rsidRPr="00C85C78" w:rsidRDefault="00B16BD4" w:rsidP="00B16B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34E44F81" w14:textId="77777777" w:rsidR="00B16BD4" w:rsidRPr="00C85C78" w:rsidRDefault="00B16BD4" w:rsidP="00B16B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5CAE1A1" w14:textId="77777777" w:rsidR="00B16BD4" w:rsidRPr="00C85C78" w:rsidRDefault="00B16BD4" w:rsidP="00B16B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33EA831" w14:textId="77777777" w:rsidR="00B16BD4" w:rsidRPr="00C85C78" w:rsidRDefault="00B16BD4" w:rsidP="00B16BD4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7. О’Лири, Зина. Зерттеу жобасын жүргізу: негізгі нұсқаулық : монография - Алматы: "Ұлттық аударма бюросы" ҚҚ, 2020 - 470 б</w:t>
      </w:r>
    </w:p>
    <w:p w14:paraId="55C73D4F" w14:textId="77777777" w:rsidR="00B16BD4" w:rsidRPr="00C85C78" w:rsidRDefault="00B16BD4" w:rsidP="00B16BD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787F3E9" w14:textId="77777777" w:rsidR="00B16BD4" w:rsidRDefault="00B16BD4" w:rsidP="00B16BD4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15A52749" w14:textId="77777777" w:rsidR="00B16BD4" w:rsidRPr="003D60D8" w:rsidRDefault="00B16BD4" w:rsidP="00B16BD4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2"/>
    <w:p w14:paraId="7BE0D5BC" w14:textId="77777777" w:rsidR="00B16BD4" w:rsidRPr="003D60D8" w:rsidRDefault="00000000" w:rsidP="00B16BD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7B7492AA" w14:textId="77777777" w:rsidR="005C71E0" w:rsidRPr="003D60D8" w:rsidRDefault="00B16BD4" w:rsidP="00B16BD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422B9040" w14:textId="77777777" w:rsidR="00B16BD4" w:rsidRPr="00C85C78" w:rsidRDefault="00B16BD4" w:rsidP="00B16B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C49B0E8" w14:textId="77777777" w:rsidR="00B16BD4" w:rsidRPr="00C85C78" w:rsidRDefault="00B16BD4" w:rsidP="00B16BD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2147CF6" w14:textId="77777777" w:rsidR="00B16BD4" w:rsidRPr="00C85C78" w:rsidRDefault="00B16BD4" w:rsidP="00B16B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62CE079C" w14:textId="74094D40" w:rsidR="00B16BD4" w:rsidRPr="00B16BD4" w:rsidRDefault="00B16BD4" w:rsidP="00B16BD4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B16BD4" w:rsidRPr="00B1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718BC"/>
    <w:multiLevelType w:val="hybridMultilevel"/>
    <w:tmpl w:val="9792352C"/>
    <w:lvl w:ilvl="0" w:tplc="908271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41E4"/>
    <w:multiLevelType w:val="hybridMultilevel"/>
    <w:tmpl w:val="20106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2"/>
  </w:num>
  <w:num w:numId="2" w16cid:durableId="1343240075">
    <w:abstractNumId w:val="1"/>
  </w:num>
  <w:num w:numId="3" w16cid:durableId="1305282586">
    <w:abstractNumId w:val="3"/>
  </w:num>
  <w:num w:numId="4" w16cid:durableId="77301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A7"/>
    <w:rsid w:val="000965B3"/>
    <w:rsid w:val="001632AF"/>
    <w:rsid w:val="0018477A"/>
    <w:rsid w:val="00310446"/>
    <w:rsid w:val="003E6D87"/>
    <w:rsid w:val="005C71E0"/>
    <w:rsid w:val="00676A07"/>
    <w:rsid w:val="00680DDE"/>
    <w:rsid w:val="00B16BD4"/>
    <w:rsid w:val="00E2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AD2C"/>
  <w15:chartTrackingRefBased/>
  <w15:docId w15:val="{7F3E8444-2D19-4442-9DAF-C5BBE104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BD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1992" TargetMode="External"/><Relationship Id="rId5" Type="http://schemas.openxmlformats.org/officeDocument/2006/relationships/hyperlink" Target="https://urait.ru/bcode/536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2024-09-09T11:48:00Z</dcterms:created>
  <dcterms:modified xsi:type="dcterms:W3CDTF">2024-09-10T01:35:00Z</dcterms:modified>
</cp:coreProperties>
</file>